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36" w:rsidRPr="00B53076" w:rsidRDefault="00393696">
      <w:pPr>
        <w:pStyle w:val="Heading10"/>
        <w:keepNext/>
        <w:keepLines/>
        <w:shd w:val="clear" w:color="auto" w:fill="auto"/>
        <w:spacing w:after="604" w:line="270" w:lineRule="exact"/>
        <w:ind w:left="20"/>
      </w:pPr>
      <w:bookmarkStart w:id="0" w:name="bookmark0"/>
      <w:r w:rsidRPr="00B53076">
        <w:t>CONTENT</w:t>
      </w:r>
      <w:bookmarkEnd w:id="0"/>
    </w:p>
    <w:p w:rsidR="00F70336" w:rsidRPr="00B53076" w:rsidRDefault="00393696">
      <w:pPr>
        <w:pStyle w:val="Heading20"/>
        <w:keepNext/>
        <w:keepLines/>
        <w:shd w:val="clear" w:color="auto" w:fill="auto"/>
        <w:spacing w:before="0" w:after="199" w:line="200" w:lineRule="exact"/>
        <w:ind w:left="20"/>
      </w:pPr>
      <w:bookmarkStart w:id="1" w:name="bookmark1"/>
      <w:r w:rsidRPr="00B53076">
        <w:t>MATHEMATICS</w:t>
      </w:r>
      <w:bookmarkEnd w:id="1"/>
    </w:p>
    <w:p w:rsidR="00F70336" w:rsidRPr="00B53076" w:rsidRDefault="00393696">
      <w:pPr>
        <w:pStyle w:val="Bodytext20"/>
        <w:shd w:val="clear" w:color="auto" w:fill="auto"/>
        <w:spacing w:before="0"/>
        <w:ind w:left="20"/>
      </w:pPr>
      <w:r w:rsidRPr="00B53076">
        <w:t>Aliyev Z.S.</w:t>
      </w:r>
    </w:p>
    <w:p w:rsidR="00F70336" w:rsidRPr="00B53076" w:rsidRDefault="00393696">
      <w:pPr>
        <w:pStyle w:val="Tableofcontents0"/>
        <w:shd w:val="clear" w:color="auto" w:fill="auto"/>
        <w:tabs>
          <w:tab w:val="right" w:leader="dot" w:pos="7496"/>
        </w:tabs>
        <w:spacing w:after="307"/>
        <w:ind w:left="20"/>
        <w:rPr>
          <w:i w:val="0"/>
        </w:rPr>
      </w:pPr>
      <w:r w:rsidRPr="00B53076">
        <w:rPr>
          <w:i w:val="0"/>
        </w:rPr>
        <w:fldChar w:fldCharType="begin"/>
      </w:r>
      <w:r w:rsidRPr="00B53076">
        <w:rPr>
          <w:i w:val="0"/>
        </w:rPr>
        <w:instrText xml:space="preserve"> TOC \o "1-5" \h \z </w:instrText>
      </w:r>
      <w:r w:rsidRPr="00B53076">
        <w:rPr>
          <w:i w:val="0"/>
        </w:rPr>
        <w:fldChar w:fldCharType="separate"/>
      </w:r>
      <w:r w:rsidRPr="00B53076">
        <w:rPr>
          <w:i w:val="0"/>
        </w:rPr>
        <w:t>On the defect basicity of the system, of root functions of differential operators with spectral parameter in the boundary conditions</w:t>
      </w:r>
      <w:r w:rsidRPr="00B53076">
        <w:rPr>
          <w:rStyle w:val="TableofcontentsNotItalic"/>
        </w:rPr>
        <w:tab/>
        <w:t>3</w:t>
      </w:r>
    </w:p>
    <w:p w:rsidR="00F70336" w:rsidRPr="00B53076" w:rsidRDefault="00393696">
      <w:pPr>
        <w:pStyle w:val="Tableofcontents20"/>
        <w:shd w:val="clear" w:color="auto" w:fill="auto"/>
        <w:spacing w:before="0" w:after="43" w:line="190" w:lineRule="exact"/>
        <w:ind w:left="20"/>
      </w:pPr>
      <w:r w:rsidRPr="00B53076">
        <w:t>Aliyev R.T., Cafarova H.A.</w:t>
      </w:r>
    </w:p>
    <w:p w:rsidR="00F70336" w:rsidRPr="00B53076" w:rsidRDefault="00393696">
      <w:pPr>
        <w:pStyle w:val="Tableofcontents0"/>
        <w:shd w:val="clear" w:color="auto" w:fill="auto"/>
        <w:tabs>
          <w:tab w:val="right" w:leader="dot" w:pos="7496"/>
        </w:tabs>
        <w:spacing w:after="276" w:line="190" w:lineRule="exact"/>
        <w:ind w:left="20"/>
        <w:jc w:val="both"/>
        <w:rPr>
          <w:i w:val="0"/>
        </w:rPr>
      </w:pPr>
      <w:r w:rsidRPr="00B53076">
        <w:rPr>
          <w:i w:val="0"/>
        </w:rPr>
        <w:t>About convergence on distribution of one serni-markovian random walk</w:t>
      </w:r>
      <w:r w:rsidRPr="00B53076">
        <w:rPr>
          <w:rStyle w:val="TableofcontentsNotItalic"/>
        </w:rPr>
        <w:tab/>
        <w:t>15</w:t>
      </w:r>
    </w:p>
    <w:p w:rsidR="00F70336" w:rsidRPr="00B53076" w:rsidRDefault="00393696">
      <w:pPr>
        <w:pStyle w:val="Tableofcontents20"/>
        <w:shd w:val="clear" w:color="auto" w:fill="auto"/>
        <w:spacing w:before="0" w:after="36" w:line="190" w:lineRule="exact"/>
        <w:ind w:left="20"/>
      </w:pPr>
      <w:r w:rsidRPr="00B53076">
        <w:t>Babaev A.A., Mirzoev R.J</w:t>
      </w:r>
      <w:proofErr w:type="gramStart"/>
      <w:r w:rsidRPr="00B53076">
        <w:t>. ,</w:t>
      </w:r>
      <w:proofErr w:type="gramEnd"/>
      <w:r w:rsidRPr="00B53076">
        <w:t xml:space="preserve"> Meshaik S.A.</w:t>
      </w:r>
    </w:p>
    <w:p w:rsidR="00F70336" w:rsidRPr="00B53076" w:rsidRDefault="00393696">
      <w:pPr>
        <w:pStyle w:val="Tableofcontents0"/>
        <w:shd w:val="clear" w:color="auto" w:fill="auto"/>
        <w:tabs>
          <w:tab w:val="right" w:leader="dot" w:pos="7496"/>
        </w:tabs>
        <w:spacing w:after="268" w:line="190" w:lineRule="exact"/>
        <w:ind w:left="20"/>
        <w:jc w:val="both"/>
        <w:rPr>
          <w:i w:val="0"/>
        </w:rPr>
      </w:pPr>
      <w:r w:rsidRPr="00B53076">
        <w:rPr>
          <w:i w:val="0"/>
        </w:rPr>
        <w:t>On minimal sub-algebras in algebra Pic®P</w:t>
      </w:r>
      <w:r w:rsidRPr="00B53076">
        <w:rPr>
          <w:i w:val="0"/>
          <w:vertAlign w:val="subscript"/>
        </w:rPr>
        <w:t>m</w:t>
      </w:r>
      <w:r w:rsidRPr="00B53076">
        <w:rPr>
          <w:rStyle w:val="TableofcontentsNotItalic"/>
        </w:rPr>
        <w:tab/>
        <w:t>23</w:t>
      </w:r>
    </w:p>
    <w:p w:rsidR="00F70336" w:rsidRPr="00B53076" w:rsidRDefault="00393696">
      <w:pPr>
        <w:pStyle w:val="Tableofcontents20"/>
        <w:shd w:val="clear" w:color="auto" w:fill="auto"/>
        <w:spacing w:before="0" w:after="36" w:line="190" w:lineRule="exact"/>
        <w:ind w:left="20"/>
      </w:pPr>
      <w:r w:rsidRPr="00B53076">
        <w:t>Bilalov B.T., Misirova Z.M.</w:t>
      </w:r>
    </w:p>
    <w:p w:rsidR="00F70336" w:rsidRPr="00B53076" w:rsidRDefault="00393696">
      <w:pPr>
        <w:pStyle w:val="Tableofcontents0"/>
        <w:shd w:val="clear" w:color="auto" w:fill="auto"/>
        <w:tabs>
          <w:tab w:val="right" w:leader="dot" w:pos="7496"/>
        </w:tabs>
        <w:spacing w:after="201" w:line="190" w:lineRule="exact"/>
        <w:ind w:left="20"/>
        <w:jc w:val="both"/>
        <w:rPr>
          <w:i w:val="0"/>
        </w:rPr>
      </w:pPr>
      <w:r w:rsidRPr="00B53076">
        <w:rPr>
          <w:i w:val="0"/>
        </w:rPr>
        <w:t>On a remark to Paley-Wiener and N.K. Barri theorems</w:t>
      </w:r>
      <w:r w:rsidRPr="00B53076">
        <w:rPr>
          <w:rStyle w:val="TableofcontentsNotItalic"/>
        </w:rPr>
        <w:tab/>
        <w:t>29</w:t>
      </w:r>
    </w:p>
    <w:p w:rsidR="00F70336" w:rsidRPr="00B53076" w:rsidRDefault="00393696">
      <w:pPr>
        <w:pStyle w:val="Tableofcontents20"/>
        <w:shd w:val="clear" w:color="auto" w:fill="auto"/>
        <w:spacing w:before="0" w:after="0" w:line="274" w:lineRule="exact"/>
        <w:ind w:left="20"/>
      </w:pPr>
      <w:r w:rsidRPr="00B53076">
        <w:t>Karimov K.A.</w:t>
      </w:r>
    </w:p>
    <w:p w:rsidR="00F70336" w:rsidRPr="00B53076" w:rsidRDefault="00393696">
      <w:pPr>
        <w:pStyle w:val="Tableofcontents0"/>
        <w:shd w:val="clear" w:color="auto" w:fill="auto"/>
        <w:spacing w:after="0"/>
        <w:ind w:left="20"/>
        <w:jc w:val="both"/>
        <w:rPr>
          <w:i w:val="0"/>
        </w:rPr>
      </w:pPr>
      <w:r w:rsidRPr="00B53076">
        <w:rPr>
          <w:i w:val="0"/>
        </w:rPr>
        <w:t>On solvability of second order operator-differential</w:t>
      </w:r>
    </w:p>
    <w:p w:rsidR="00F70336" w:rsidRPr="00B53076" w:rsidRDefault="00393696">
      <w:pPr>
        <w:pStyle w:val="Tableofcontents0"/>
        <w:shd w:val="clear" w:color="auto" w:fill="auto"/>
        <w:tabs>
          <w:tab w:val="left" w:leader="dot" w:pos="7166"/>
        </w:tabs>
        <w:spacing w:after="243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equations</w:t>
      </w:r>
      <w:proofErr w:type="gramEnd"/>
      <w:r w:rsidRPr="00B53076">
        <w:rPr>
          <w:i w:val="0"/>
        </w:rPr>
        <w:t xml:space="preserve"> with integral boundary condition</w:t>
      </w:r>
      <w:r w:rsidRPr="00B53076">
        <w:rPr>
          <w:rStyle w:val="TableofcontentsNotItalic"/>
        </w:rPr>
        <w:tab/>
        <w:t xml:space="preserve"> 33</w:t>
      </w:r>
    </w:p>
    <w:p w:rsidR="00F70336" w:rsidRPr="00B53076" w:rsidRDefault="00393696">
      <w:pPr>
        <w:pStyle w:val="Tableofcontents20"/>
        <w:shd w:val="clear" w:color="auto" w:fill="auto"/>
        <w:spacing w:before="0" w:after="0" w:line="270" w:lineRule="exact"/>
        <w:ind w:left="20"/>
      </w:pPr>
      <w:r w:rsidRPr="00B53076">
        <w:t>Mahmudov N.M.</w:t>
      </w:r>
    </w:p>
    <w:p w:rsidR="00F70336" w:rsidRPr="00B53076" w:rsidRDefault="00393696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r w:rsidRPr="00B53076">
        <w:rPr>
          <w:i w:val="0"/>
        </w:rPr>
        <w:t>Necessary optimality condition in an optimal control problem for</w:t>
      </w:r>
    </w:p>
    <w:p w:rsidR="00F70336" w:rsidRPr="00B53076" w:rsidRDefault="00393696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r w:rsidRPr="00B53076">
        <w:rPr>
          <w:i w:val="0"/>
        </w:rPr>
        <w:t>Schrodinger equation with pure imaginary coefficient in the</w:t>
      </w:r>
    </w:p>
    <w:p w:rsidR="00F70336" w:rsidRPr="00B53076" w:rsidRDefault="00393696">
      <w:pPr>
        <w:pStyle w:val="Tableofcontents0"/>
        <w:shd w:val="clear" w:color="auto" w:fill="auto"/>
        <w:tabs>
          <w:tab w:val="left" w:leader="dot" w:pos="7166"/>
        </w:tabs>
        <w:spacing w:after="237" w:line="270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nonlinear</w:t>
      </w:r>
      <w:proofErr w:type="gramEnd"/>
      <w:r w:rsidRPr="00B53076">
        <w:rPr>
          <w:i w:val="0"/>
        </w:rPr>
        <w:t xml:space="preserve"> part of this equation</w:t>
      </w:r>
      <w:r w:rsidRPr="00B53076">
        <w:rPr>
          <w:rStyle w:val="TableofcontentsNotItalic"/>
        </w:rPr>
        <w:tab/>
        <w:t>43</w:t>
      </w:r>
    </w:p>
    <w:p w:rsidR="00F70336" w:rsidRPr="00B53076" w:rsidRDefault="00393696">
      <w:pPr>
        <w:pStyle w:val="Tableofcontents20"/>
        <w:shd w:val="clear" w:color="auto" w:fill="auto"/>
        <w:spacing w:before="0" w:after="0" w:line="274" w:lineRule="exact"/>
        <w:ind w:left="20"/>
      </w:pPr>
      <w:r w:rsidRPr="00B53076">
        <w:t>Mammadov M.M.</w:t>
      </w:r>
    </w:p>
    <w:p w:rsidR="00F70336" w:rsidRPr="00B53076" w:rsidRDefault="00393696">
      <w:pPr>
        <w:pStyle w:val="Tableofcontents0"/>
        <w:shd w:val="clear" w:color="auto" w:fill="auto"/>
        <w:tabs>
          <w:tab w:val="right" w:leader="dot" w:pos="7496"/>
        </w:tabs>
        <w:ind w:left="20"/>
        <w:rPr>
          <w:i w:val="0"/>
        </w:rPr>
      </w:pPr>
      <w:r w:rsidRPr="00B53076">
        <w:rPr>
          <w:i w:val="0"/>
        </w:rPr>
        <w:t>Summability by the Abel method of series with respect to the root vectors of the system of unbounded linear operator bundles</w:t>
      </w:r>
      <w:r w:rsidRPr="00B53076">
        <w:rPr>
          <w:rStyle w:val="TableofcontentsNotItalic"/>
        </w:rPr>
        <w:tab/>
        <w:t xml:space="preserve"> 51</w:t>
      </w:r>
    </w:p>
    <w:p w:rsidR="00F70336" w:rsidRPr="00B53076" w:rsidRDefault="00393696">
      <w:pPr>
        <w:pStyle w:val="Tableofcontents20"/>
        <w:shd w:val="clear" w:color="auto" w:fill="auto"/>
        <w:spacing w:before="0" w:after="0" w:line="274" w:lineRule="exact"/>
        <w:ind w:left="20"/>
      </w:pPr>
      <w:r w:rsidRPr="00B53076">
        <w:t>Mehraliyev Ya.T.</w:t>
      </w:r>
    </w:p>
    <w:p w:rsidR="00F70336" w:rsidRPr="00B53076" w:rsidRDefault="00393696">
      <w:pPr>
        <w:pStyle w:val="Tableofcontents0"/>
        <w:shd w:val="clear" w:color="auto" w:fill="auto"/>
        <w:spacing w:after="0"/>
        <w:ind w:left="20"/>
        <w:jc w:val="both"/>
        <w:rPr>
          <w:i w:val="0"/>
        </w:rPr>
      </w:pPr>
      <w:r w:rsidRPr="00B53076">
        <w:rPr>
          <w:i w:val="0"/>
        </w:rPr>
        <w:t>Solution of a boundary value problem for a second order parabolic</w:t>
      </w:r>
    </w:p>
    <w:p w:rsidR="00F70336" w:rsidRPr="00B53076" w:rsidRDefault="00393696">
      <w:pPr>
        <w:pStyle w:val="Tableofcontents0"/>
        <w:shd w:val="clear" w:color="auto" w:fill="auto"/>
        <w:tabs>
          <w:tab w:val="left" w:leader="dot" w:pos="7166"/>
        </w:tabs>
        <w:spacing w:after="243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equation</w:t>
      </w:r>
      <w:proofErr w:type="gramEnd"/>
      <w:r w:rsidRPr="00B53076">
        <w:rPr>
          <w:i w:val="0"/>
        </w:rPr>
        <w:t xml:space="preserve"> with non-classic boundary condition</w:t>
      </w:r>
      <w:r w:rsidRPr="00B53076">
        <w:rPr>
          <w:rStyle w:val="TableofcontentsNotItalic"/>
        </w:rPr>
        <w:tab/>
        <w:t xml:space="preserve"> 59</w:t>
      </w:r>
    </w:p>
    <w:p w:rsidR="00F70336" w:rsidRPr="00B53076" w:rsidRDefault="00393696">
      <w:pPr>
        <w:pStyle w:val="Tableofcontents20"/>
        <w:shd w:val="clear" w:color="auto" w:fill="auto"/>
        <w:spacing w:before="0" w:after="0" w:line="270" w:lineRule="exact"/>
        <w:ind w:left="20"/>
      </w:pPr>
      <w:r w:rsidRPr="00B53076">
        <w:t>Musayev A.M.</w:t>
      </w:r>
    </w:p>
    <w:p w:rsidR="00F70336" w:rsidRPr="00B53076" w:rsidRDefault="00393696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r w:rsidRPr="00B53076">
        <w:rPr>
          <w:i w:val="0"/>
        </w:rPr>
        <w:t>To the question of approximation of functions by the Mellin type</w:t>
      </w:r>
    </w:p>
    <w:p w:rsidR="00F70336" w:rsidRPr="00B53076" w:rsidRDefault="00393696">
      <w:pPr>
        <w:pStyle w:val="Tableofcontents0"/>
        <w:shd w:val="clear" w:color="auto" w:fill="auto"/>
        <w:tabs>
          <w:tab w:val="left" w:leader="dot" w:pos="7166"/>
        </w:tabs>
        <w:spacing w:after="237" w:line="270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operators</w:t>
      </w:r>
      <w:proofErr w:type="gramEnd"/>
      <w:r w:rsidRPr="00B53076">
        <w:rPr>
          <w:i w:val="0"/>
        </w:rPr>
        <w:t xml:space="preserve"> in the space </w:t>
      </w:r>
      <w:r w:rsidRPr="00B53076">
        <w:rPr>
          <w:rStyle w:val="TableofcontentsSpacing1pt"/>
          <w:iCs/>
        </w:rPr>
        <w:t>X</w:t>
      </w:r>
      <w:r w:rsidRPr="00B53076">
        <w:rPr>
          <w:rStyle w:val="TableofcontentsSpacing1pt"/>
          <w:iCs/>
          <w:vertAlign w:val="subscript"/>
        </w:rPr>
        <w:t>aia2</w:t>
      </w:r>
      <w:r w:rsidRPr="00B53076">
        <w:rPr>
          <w:rStyle w:val="TableofcontentsSpacing1pt"/>
          <w:iCs/>
        </w:rPr>
        <w:t>(E</w:t>
      </w:r>
      <w:r w:rsidRPr="00B53076">
        <w:rPr>
          <w:rStyle w:val="TableofcontentsSpacing1pt"/>
          <w:iCs/>
          <w:vertAlign w:val="superscript"/>
        </w:rPr>
        <w:t>+</w:t>
      </w:r>
      <w:r w:rsidRPr="00B53076">
        <w:rPr>
          <w:rStyle w:val="TableofcontentsSpacing1pt"/>
          <w:iCs/>
        </w:rPr>
        <w:t>)</w:t>
      </w:r>
      <w:r w:rsidRPr="00B53076">
        <w:rPr>
          <w:rStyle w:val="TableofcontentsNotItalic"/>
        </w:rPr>
        <w:tab/>
        <w:t>69</w:t>
      </w:r>
    </w:p>
    <w:p w:rsidR="00F70336" w:rsidRPr="00B53076" w:rsidRDefault="00393696">
      <w:pPr>
        <w:pStyle w:val="Tableofcontents20"/>
        <w:shd w:val="clear" w:color="auto" w:fill="auto"/>
        <w:spacing w:before="0" w:after="0" w:line="274" w:lineRule="exact"/>
        <w:ind w:left="20"/>
      </w:pPr>
      <w:r w:rsidRPr="00B53076">
        <w:t>Nurmamedov M.A.</w:t>
      </w:r>
    </w:p>
    <w:p w:rsidR="00F70336" w:rsidRPr="00B53076" w:rsidRDefault="00393696">
      <w:pPr>
        <w:pStyle w:val="Tableofcontents0"/>
        <w:shd w:val="clear" w:color="auto" w:fill="auto"/>
        <w:spacing w:after="0"/>
        <w:ind w:left="20"/>
        <w:jc w:val="both"/>
        <w:rPr>
          <w:i w:val="0"/>
        </w:rPr>
      </w:pPr>
      <w:r w:rsidRPr="00B53076">
        <w:rPr>
          <w:i w:val="0"/>
        </w:rPr>
        <w:t xml:space="preserve">An applications </w:t>
      </w:r>
      <w:proofErr w:type="gramStart"/>
      <w:r w:rsidRPr="00B53076">
        <w:rPr>
          <w:i w:val="0"/>
        </w:rPr>
        <w:t>of ”</w:t>
      </w:r>
      <w:proofErr w:type="gramEnd"/>
      <w:r w:rsidRPr="00B53076">
        <w:rPr>
          <w:i w:val="0"/>
        </w:rPr>
        <w:t>approximately” and ”topological” methods on the</w:t>
      </w:r>
    </w:p>
    <w:p w:rsidR="00F70336" w:rsidRPr="00B53076" w:rsidRDefault="00393696">
      <w:pPr>
        <w:pStyle w:val="Tableofcontents0"/>
        <w:shd w:val="clear" w:color="auto" w:fill="auto"/>
        <w:spacing w:after="0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solvability</w:t>
      </w:r>
      <w:proofErr w:type="gramEnd"/>
      <w:r w:rsidRPr="00B53076">
        <w:rPr>
          <w:i w:val="0"/>
        </w:rPr>
        <w:t xml:space="preserve"> of well-posed boundary value problems for quasi-linear</w:t>
      </w:r>
    </w:p>
    <w:p w:rsidR="00F70336" w:rsidRPr="00B53076" w:rsidRDefault="00393696">
      <w:pPr>
        <w:pStyle w:val="Tableofcontents0"/>
        <w:shd w:val="clear" w:color="auto" w:fill="auto"/>
        <w:tabs>
          <w:tab w:val="right" w:leader="dot" w:pos="7496"/>
        </w:tabs>
        <w:spacing w:after="307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systems</w:t>
      </w:r>
      <w:proofErr w:type="gramEnd"/>
      <w:r w:rsidRPr="00B53076">
        <w:rPr>
          <w:i w:val="0"/>
        </w:rPr>
        <w:t xml:space="preserve"> equations of mixed-composite type in space</w:t>
      </w:r>
      <w:r w:rsidRPr="00B53076">
        <w:rPr>
          <w:rStyle w:val="TableofcontentsNotItalic"/>
        </w:rPr>
        <w:tab/>
        <w:t>75</w:t>
      </w:r>
      <w:r w:rsidRPr="00B53076">
        <w:rPr>
          <w:i w:val="0"/>
        </w:rPr>
        <w:fldChar w:fldCharType="end"/>
      </w:r>
    </w:p>
    <w:p w:rsidR="00F70336" w:rsidRPr="00B53076" w:rsidRDefault="00393696">
      <w:pPr>
        <w:pStyle w:val="Bodytext20"/>
        <w:shd w:val="clear" w:color="auto" w:fill="auto"/>
        <w:spacing w:before="0" w:after="39" w:line="190" w:lineRule="exact"/>
        <w:ind w:left="20"/>
      </w:pPr>
      <w:proofErr w:type="spellStart"/>
      <w:proofErr w:type="gramStart"/>
      <w:r w:rsidRPr="00B53076">
        <w:t>Panakhov</w:t>
      </w:r>
      <w:proofErr w:type="spellEnd"/>
      <w:r w:rsidRPr="00B53076">
        <w:t xml:space="preserve"> E.S., Ba§ E.</w:t>
      </w:r>
      <w:proofErr w:type="gramEnd"/>
    </w:p>
    <w:p w:rsidR="00F70336" w:rsidRPr="00B53076" w:rsidRDefault="00393696">
      <w:pPr>
        <w:pStyle w:val="BodyText1"/>
        <w:shd w:val="clear" w:color="auto" w:fill="auto"/>
        <w:spacing w:before="0" w:line="190" w:lineRule="exact"/>
        <w:ind w:left="20"/>
        <w:rPr>
          <w:i w:val="0"/>
        </w:rPr>
      </w:pPr>
      <w:r w:rsidRPr="00B53076">
        <w:rPr>
          <w:i w:val="0"/>
        </w:rPr>
        <w:t>On inverse problem for singular Sturm-</w:t>
      </w:r>
      <w:proofErr w:type="spellStart"/>
      <w:r w:rsidRPr="00B53076">
        <w:rPr>
          <w:i w:val="0"/>
        </w:rPr>
        <w:t>Liouville</w:t>
      </w:r>
      <w:proofErr w:type="spellEnd"/>
      <w:r w:rsidRPr="00B53076">
        <w:rPr>
          <w:i w:val="0"/>
        </w:rPr>
        <w:t xml:space="preserve"> operator from two spectra</w:t>
      </w:r>
      <w:r w:rsidRPr="00B53076">
        <w:rPr>
          <w:rStyle w:val="BodytextNotItalic"/>
        </w:rPr>
        <w:t>... 85</w:t>
      </w:r>
    </w:p>
    <w:p w:rsidR="005575CB" w:rsidRDefault="005575CB" w:rsidP="005575CB">
      <w:pPr>
        <w:pStyle w:val="Bodytext20"/>
        <w:shd w:val="clear" w:color="auto" w:fill="auto"/>
        <w:spacing w:before="0" w:line="266" w:lineRule="exact"/>
        <w:ind w:left="20"/>
      </w:pPr>
      <w:bookmarkStart w:id="2" w:name="bookmark2"/>
    </w:p>
    <w:p w:rsidR="005575CB" w:rsidRDefault="005575CB" w:rsidP="005575CB">
      <w:pPr>
        <w:pStyle w:val="Bodytext20"/>
        <w:shd w:val="clear" w:color="auto" w:fill="auto"/>
        <w:spacing w:before="0" w:line="266" w:lineRule="exact"/>
        <w:ind w:left="20"/>
      </w:pPr>
    </w:p>
    <w:p w:rsidR="005575CB" w:rsidRPr="00B53076" w:rsidRDefault="005575CB" w:rsidP="005575CB">
      <w:pPr>
        <w:pStyle w:val="Bodytext20"/>
        <w:shd w:val="clear" w:color="auto" w:fill="auto"/>
        <w:spacing w:before="0" w:line="266" w:lineRule="exact"/>
        <w:ind w:left="20"/>
      </w:pPr>
      <w:proofErr w:type="spellStart"/>
      <w:r w:rsidRPr="00B53076">
        <w:lastRenderedPageBreak/>
        <w:t>Sabzaliyeva</w:t>
      </w:r>
      <w:proofErr w:type="spellEnd"/>
      <w:r w:rsidRPr="00B53076">
        <w:t xml:space="preserve"> I.M.</w:t>
      </w:r>
    </w:p>
    <w:p w:rsidR="005575CB" w:rsidRPr="00B53076" w:rsidRDefault="005575CB" w:rsidP="005575CB">
      <w:pPr>
        <w:pStyle w:val="BodyText1"/>
        <w:shd w:val="clear" w:color="auto" w:fill="auto"/>
        <w:spacing w:before="0" w:line="266" w:lineRule="exact"/>
        <w:ind w:left="20"/>
        <w:jc w:val="both"/>
        <w:rPr>
          <w:i w:val="0"/>
        </w:rPr>
      </w:pPr>
      <w:r w:rsidRPr="00B53076">
        <w:rPr>
          <w:i w:val="0"/>
        </w:rPr>
        <w:t>On boundary value problems for a singularly perturbed differential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right" w:leader="dot" w:pos="7487"/>
        </w:tabs>
        <w:spacing w:after="237" w:line="266" w:lineRule="exact"/>
        <w:ind w:left="20"/>
        <w:jc w:val="both"/>
        <w:rPr>
          <w:i w:val="0"/>
        </w:rPr>
      </w:pPr>
      <w:r w:rsidRPr="00B53076">
        <w:rPr>
          <w:i w:val="0"/>
        </w:rPr>
        <w:fldChar w:fldCharType="begin"/>
      </w:r>
      <w:r w:rsidRPr="00B53076">
        <w:rPr>
          <w:i w:val="0"/>
        </w:rPr>
        <w:instrText xml:space="preserve"> TOC \o "1-5" \h \z </w:instrText>
      </w:r>
      <w:r w:rsidRPr="00B53076">
        <w:rPr>
          <w:i w:val="0"/>
        </w:rPr>
        <w:fldChar w:fldCharType="separate"/>
      </w:r>
      <w:proofErr w:type="gramStart"/>
      <w:r w:rsidRPr="00B53076">
        <w:rPr>
          <w:i w:val="0"/>
        </w:rPr>
        <w:t>equation</w:t>
      </w:r>
      <w:proofErr w:type="gramEnd"/>
      <w:r w:rsidRPr="00B53076">
        <w:rPr>
          <w:i w:val="0"/>
        </w:rPr>
        <w:t xml:space="preserve"> of non-classic type degenerating to a parabolic equation</w:t>
      </w:r>
      <w:r w:rsidRPr="00B53076">
        <w:rPr>
          <w:rStyle w:val="TableofcontentsNotItalic"/>
        </w:rPr>
        <w:tab/>
        <w:t>93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0" w:line="270" w:lineRule="exact"/>
        <w:ind w:left="20"/>
      </w:pPr>
      <w:proofErr w:type="spellStart"/>
      <w:r w:rsidRPr="00B53076">
        <w:t>Sadykhov</w:t>
      </w:r>
      <w:proofErr w:type="spellEnd"/>
      <w:r w:rsidRPr="00B53076">
        <w:t xml:space="preserve"> M.N.</w:t>
      </w:r>
    </w:p>
    <w:p w:rsidR="005575CB" w:rsidRPr="00B53076" w:rsidRDefault="005575CB" w:rsidP="005575CB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r w:rsidRPr="00B53076">
        <w:rPr>
          <w:i w:val="0"/>
        </w:rPr>
        <w:t>Investigation of uniqueness of almost everywhere solution of</w:t>
      </w:r>
    </w:p>
    <w:p w:rsidR="005575CB" w:rsidRPr="00B53076" w:rsidRDefault="005575CB" w:rsidP="005575CB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one-dimensional</w:t>
      </w:r>
      <w:proofErr w:type="gramEnd"/>
      <w:r w:rsidRPr="00B53076">
        <w:rPr>
          <w:i w:val="0"/>
        </w:rPr>
        <w:t xml:space="preserve"> mixed problem for a </w:t>
      </w:r>
      <w:proofErr w:type="spellStart"/>
      <w:r w:rsidRPr="00B53076">
        <w:rPr>
          <w:i w:val="0"/>
        </w:rPr>
        <w:t>Korteweg</w:t>
      </w:r>
      <w:proofErr w:type="spellEnd"/>
      <w:r w:rsidRPr="00B53076">
        <w:rPr>
          <w:i w:val="0"/>
        </w:rPr>
        <w:t>-de Fries-Burgers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right" w:leader="dot" w:pos="7487"/>
        </w:tabs>
        <w:spacing w:line="270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type</w:t>
      </w:r>
      <w:proofErr w:type="gramEnd"/>
      <w:r w:rsidRPr="00B53076">
        <w:rPr>
          <w:i w:val="0"/>
        </w:rPr>
        <w:t xml:space="preserve"> non-linear equation</w:t>
      </w:r>
      <w:r w:rsidRPr="00B53076">
        <w:rPr>
          <w:rStyle w:val="TableofcontentsNotItalic"/>
        </w:rPr>
        <w:tab/>
        <w:t>103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0" w:line="270" w:lineRule="exact"/>
        <w:ind w:left="20"/>
      </w:pPr>
      <w:proofErr w:type="spellStart"/>
      <w:r w:rsidRPr="00B53076">
        <w:t>Seidov</w:t>
      </w:r>
      <w:proofErr w:type="spellEnd"/>
      <w:r w:rsidRPr="00B53076">
        <w:t xml:space="preserve"> Z.B.</w:t>
      </w:r>
    </w:p>
    <w:p w:rsidR="005575CB" w:rsidRPr="00B53076" w:rsidRDefault="005575CB" w:rsidP="005575CB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r w:rsidRPr="00B53076">
        <w:rPr>
          <w:i w:val="0"/>
        </w:rPr>
        <w:t>Numerical solution of linear boundary-value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left" w:leader="dot" w:pos="7069"/>
        </w:tabs>
        <w:spacing w:line="270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problems</w:t>
      </w:r>
      <w:proofErr w:type="gramEnd"/>
      <w:r w:rsidRPr="00B53076">
        <w:rPr>
          <w:i w:val="0"/>
        </w:rPr>
        <w:t xml:space="preserve"> for </w:t>
      </w:r>
      <w:proofErr w:type="spellStart"/>
      <w:r w:rsidRPr="00B53076">
        <w:rPr>
          <w:i w:val="0"/>
        </w:rPr>
        <w:t>integro</w:t>
      </w:r>
      <w:proofErr w:type="spellEnd"/>
      <w:r w:rsidRPr="00B53076">
        <w:rPr>
          <w:i w:val="0"/>
        </w:rPr>
        <w:t>-differential equations</w:t>
      </w:r>
      <w:r w:rsidRPr="00B53076">
        <w:rPr>
          <w:rStyle w:val="TableofcontentsNotItalic"/>
        </w:rPr>
        <w:tab/>
        <w:t>113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0" w:line="270" w:lineRule="exact"/>
        <w:ind w:left="20"/>
      </w:pPr>
      <w:proofErr w:type="spellStart"/>
      <w:r w:rsidRPr="00B53076">
        <w:t>Esen</w:t>
      </w:r>
      <w:proofErr w:type="spellEnd"/>
      <w:r w:rsidRPr="00B53076">
        <w:t xml:space="preserve"> </w:t>
      </w:r>
      <w:proofErr w:type="spellStart"/>
      <w:r w:rsidRPr="00B53076">
        <w:t>Sevgi</w:t>
      </w:r>
      <w:proofErr w:type="spellEnd"/>
    </w:p>
    <w:p w:rsidR="005575CB" w:rsidRPr="00B53076" w:rsidRDefault="005575CB" w:rsidP="005575CB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r w:rsidRPr="00B53076">
        <w:rPr>
          <w:i w:val="0"/>
        </w:rPr>
        <w:t>The order of approximation by the family of integral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left" w:leader="dot" w:pos="4284"/>
          <w:tab w:val="left" w:leader="dot" w:pos="4285"/>
          <w:tab w:val="left" w:leader="dot" w:pos="7069"/>
        </w:tabs>
        <w:spacing w:after="480" w:line="270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operators</w:t>
      </w:r>
      <w:proofErr w:type="gramEnd"/>
      <w:r w:rsidRPr="00B53076">
        <w:rPr>
          <w:i w:val="0"/>
        </w:rPr>
        <w:t xml:space="preserve"> with positive kernel</w:t>
      </w:r>
      <w:r w:rsidRPr="00B53076">
        <w:rPr>
          <w:rStyle w:val="TableofcontentsNotItalic"/>
        </w:rPr>
        <w:tab/>
      </w:r>
      <w:r w:rsidRPr="00B53076">
        <w:rPr>
          <w:rStyle w:val="TableofcontentsNotItalic"/>
        </w:rPr>
        <w:tab/>
      </w:r>
      <w:r w:rsidRPr="00B53076">
        <w:rPr>
          <w:rStyle w:val="TableofcontentsNotItalic"/>
        </w:rPr>
        <w:tab/>
        <w:t xml:space="preserve"> 117</w:t>
      </w:r>
    </w:p>
    <w:p w:rsidR="005575CB" w:rsidRPr="00B53076" w:rsidRDefault="005575CB" w:rsidP="005575CB">
      <w:pPr>
        <w:pStyle w:val="Tableofcontents30"/>
        <w:shd w:val="clear" w:color="auto" w:fill="auto"/>
        <w:spacing w:before="0"/>
        <w:ind w:left="20"/>
      </w:pPr>
      <w:r w:rsidRPr="00B53076">
        <w:t>MECHANICS</w:t>
      </w:r>
    </w:p>
    <w:p w:rsidR="005575CB" w:rsidRPr="00B53076" w:rsidRDefault="005575CB" w:rsidP="005575CB">
      <w:pPr>
        <w:pStyle w:val="Tableofcontents20"/>
        <w:shd w:val="clear" w:color="auto" w:fill="auto"/>
        <w:tabs>
          <w:tab w:val="left" w:pos="4776"/>
        </w:tabs>
        <w:spacing w:before="0" w:after="0" w:line="270" w:lineRule="exact"/>
        <w:ind w:left="20"/>
      </w:pPr>
      <w:r w:rsidRPr="00B53076">
        <w:t>Abbasov A.J.</w:t>
      </w:r>
      <w:r w:rsidRPr="00B53076">
        <w:tab/>
        <w:t>x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right" w:leader="dot" w:pos="7487"/>
        </w:tabs>
        <w:spacing w:after="234" w:line="270" w:lineRule="exact"/>
        <w:ind w:left="20"/>
        <w:jc w:val="both"/>
        <w:rPr>
          <w:i w:val="0"/>
        </w:rPr>
      </w:pPr>
      <w:r w:rsidRPr="00B53076">
        <w:rPr>
          <w:i w:val="0"/>
        </w:rPr>
        <w:t>Stability of a compressed bar subjected to corrosive wear</w:t>
      </w:r>
      <w:r w:rsidRPr="00B53076">
        <w:rPr>
          <w:rStyle w:val="TableofcontentsNotItalic"/>
        </w:rPr>
        <w:tab/>
        <w:t>123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0" w:line="277" w:lineRule="exact"/>
        <w:ind w:left="20"/>
      </w:pPr>
      <w:proofErr w:type="spellStart"/>
      <w:r w:rsidRPr="00B53076">
        <w:t>Akbarov</w:t>
      </w:r>
      <w:proofErr w:type="spellEnd"/>
      <w:r w:rsidRPr="00B53076">
        <w:t xml:space="preserve"> S.D., Rzayev O.G., </w:t>
      </w:r>
      <w:proofErr w:type="spellStart"/>
      <w:r w:rsidRPr="00B53076">
        <w:t>Salmanova</w:t>
      </w:r>
      <w:proofErr w:type="spellEnd"/>
      <w:r w:rsidRPr="00B53076">
        <w:t xml:space="preserve"> K.A.</w:t>
      </w:r>
    </w:p>
    <w:p w:rsidR="005575CB" w:rsidRPr="00B53076" w:rsidRDefault="005575CB" w:rsidP="005575CB">
      <w:pPr>
        <w:pStyle w:val="Tableofcontents0"/>
        <w:shd w:val="clear" w:color="auto" w:fill="auto"/>
        <w:spacing w:after="0" w:line="277" w:lineRule="exact"/>
        <w:ind w:left="20"/>
        <w:jc w:val="both"/>
        <w:rPr>
          <w:i w:val="0"/>
        </w:rPr>
      </w:pPr>
      <w:r w:rsidRPr="00B53076">
        <w:rPr>
          <w:i w:val="0"/>
        </w:rPr>
        <w:t xml:space="preserve">On the dynamics of </w:t>
      </w:r>
      <w:proofErr w:type="spellStart"/>
      <w:r w:rsidRPr="00B53076">
        <w:rPr>
          <w:i w:val="0"/>
        </w:rPr>
        <w:t>vibromotive</w:t>
      </w:r>
      <w:proofErr w:type="spellEnd"/>
      <w:r w:rsidRPr="00B53076">
        <w:rPr>
          <w:i w:val="0"/>
        </w:rPr>
        <w:t xml:space="preserve"> forces acting on two-layer slab with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right" w:leader="dot" w:pos="7487"/>
        </w:tabs>
        <w:spacing w:after="246" w:line="277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finite</w:t>
      </w:r>
      <w:proofErr w:type="gramEnd"/>
      <w:r w:rsidRPr="00B53076">
        <w:rPr>
          <w:i w:val="0"/>
        </w:rPr>
        <w:t xml:space="preserve"> initial strains, resting on the rigid foundation</w:t>
      </w:r>
      <w:r w:rsidRPr="00B53076">
        <w:rPr>
          <w:rStyle w:val="TableofcontentsNotItalic"/>
        </w:rPr>
        <w:tab/>
        <w:t>127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0" w:line="270" w:lineRule="exact"/>
        <w:ind w:left="20"/>
      </w:pPr>
      <w:proofErr w:type="spellStart"/>
      <w:r w:rsidRPr="00B53076">
        <w:t>Aliyeva</w:t>
      </w:r>
      <w:proofErr w:type="spellEnd"/>
      <w:r w:rsidRPr="00B53076">
        <w:t xml:space="preserve"> Y.M.</w:t>
      </w:r>
    </w:p>
    <w:p w:rsidR="005575CB" w:rsidRPr="00B53076" w:rsidRDefault="005575CB" w:rsidP="005575CB">
      <w:pPr>
        <w:pStyle w:val="Tableofcontents0"/>
        <w:shd w:val="clear" w:color="auto" w:fill="auto"/>
        <w:spacing w:after="0" w:line="270" w:lineRule="exact"/>
        <w:ind w:left="20"/>
        <w:jc w:val="both"/>
        <w:rPr>
          <w:i w:val="0"/>
        </w:rPr>
      </w:pPr>
      <w:r w:rsidRPr="00B53076">
        <w:rPr>
          <w:i w:val="0"/>
        </w:rPr>
        <w:t>Frequency of torsional vibrations of a hollow bar subjected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right" w:leader="dot" w:pos="7487"/>
        </w:tabs>
        <w:spacing w:after="304" w:line="270" w:lineRule="exact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to</w:t>
      </w:r>
      <w:proofErr w:type="gramEnd"/>
      <w:r w:rsidRPr="00B53076">
        <w:rPr>
          <w:i w:val="0"/>
        </w:rPr>
        <w:t xml:space="preserve"> internal and external corrosion</w:t>
      </w:r>
      <w:r w:rsidRPr="00B53076">
        <w:rPr>
          <w:rStyle w:val="TableofcontentsNotItalic"/>
        </w:rPr>
        <w:tab/>
        <w:t>137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32" w:line="190" w:lineRule="exact"/>
        <w:ind w:left="20"/>
      </w:pPr>
      <w:r w:rsidRPr="00B53076">
        <w:t xml:space="preserve">Aliyev S.A., </w:t>
      </w:r>
      <w:proofErr w:type="spellStart"/>
      <w:r w:rsidRPr="00B53076">
        <w:t>Ramazanov</w:t>
      </w:r>
      <w:proofErr w:type="spellEnd"/>
      <w:r w:rsidRPr="00B53076">
        <w:t xml:space="preserve"> </w:t>
      </w:r>
      <w:r w:rsidRPr="00B53076">
        <w:rPr>
          <w:lang w:val="ru-RU"/>
        </w:rPr>
        <w:t>Т</w:t>
      </w:r>
      <w:r w:rsidRPr="00B53076">
        <w:t>.</w:t>
      </w:r>
      <w:r w:rsidRPr="00B53076">
        <w:rPr>
          <w:lang w:val="ru-RU"/>
        </w:rPr>
        <w:t>К</w:t>
      </w:r>
      <w:proofErr w:type="gramStart"/>
      <w:r w:rsidRPr="00B53076">
        <w:t>. ,</w:t>
      </w:r>
      <w:proofErr w:type="gramEnd"/>
      <w:r w:rsidRPr="00B53076">
        <w:t xml:space="preserve"> Haciyev B.I.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right" w:leader="dot" w:pos="7487"/>
        </w:tabs>
        <w:spacing w:after="272" w:line="190" w:lineRule="exact"/>
        <w:ind w:left="20"/>
        <w:jc w:val="both"/>
        <w:rPr>
          <w:i w:val="0"/>
        </w:rPr>
      </w:pPr>
      <w:r w:rsidRPr="00B53076">
        <w:rPr>
          <w:i w:val="0"/>
        </w:rPr>
        <w:t>Solitary waves in two-layer liquid with regard to surface tension</w:t>
      </w:r>
      <w:r w:rsidRPr="00B53076">
        <w:rPr>
          <w:rStyle w:val="TableofcontentsNotItalic"/>
        </w:rPr>
        <w:tab/>
        <w:t>141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39" w:line="190" w:lineRule="exact"/>
        <w:ind w:left="20"/>
      </w:pPr>
      <w:proofErr w:type="spellStart"/>
      <w:r w:rsidRPr="00B53076">
        <w:t>Gahramanov</w:t>
      </w:r>
      <w:proofErr w:type="spellEnd"/>
      <w:r w:rsidRPr="00B53076">
        <w:t xml:space="preserve"> P.F., </w:t>
      </w:r>
      <w:proofErr w:type="spellStart"/>
      <w:r w:rsidRPr="00B53076">
        <w:t>Ismailov</w:t>
      </w:r>
      <w:proofErr w:type="spellEnd"/>
      <w:r w:rsidRPr="00B53076">
        <w:t xml:space="preserve"> </w:t>
      </w:r>
      <w:proofErr w:type="spellStart"/>
      <w:r w:rsidRPr="00B53076">
        <w:t>R.Sh</w:t>
      </w:r>
      <w:proofErr w:type="spellEnd"/>
      <w:r w:rsidRPr="00B53076">
        <w:t>.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left" w:leader="dot" w:pos="7069"/>
        </w:tabs>
        <w:spacing w:after="265" w:line="190" w:lineRule="exact"/>
        <w:ind w:left="20"/>
        <w:jc w:val="both"/>
        <w:rPr>
          <w:i w:val="0"/>
        </w:rPr>
      </w:pPr>
      <w:r w:rsidRPr="00B53076">
        <w:rPr>
          <w:i w:val="0"/>
        </w:rPr>
        <w:t>Construction of basic equations of variable weight hydrodynamics</w:t>
      </w:r>
      <w:r w:rsidRPr="00B53076">
        <w:rPr>
          <w:rStyle w:val="TableofcontentsNotItalic"/>
        </w:rPr>
        <w:tab/>
        <w:t xml:space="preserve"> 155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36" w:line="190" w:lineRule="exact"/>
        <w:ind w:left="20"/>
      </w:pPr>
      <w:proofErr w:type="spellStart"/>
      <w:r w:rsidRPr="00B53076">
        <w:t>Kerimova</w:t>
      </w:r>
      <w:proofErr w:type="spellEnd"/>
      <w:r w:rsidRPr="00B53076">
        <w:t xml:space="preserve"> </w:t>
      </w:r>
      <w:proofErr w:type="spellStart"/>
      <w:r w:rsidRPr="00B53076">
        <w:t>Sh.A</w:t>
      </w:r>
      <w:proofErr w:type="spellEnd"/>
      <w:r w:rsidRPr="00B53076">
        <w:t>.</w:t>
      </w:r>
    </w:p>
    <w:p w:rsidR="005575CB" w:rsidRPr="00B53076" w:rsidRDefault="005575CB" w:rsidP="005575CB">
      <w:pPr>
        <w:pStyle w:val="Tableofcontents0"/>
        <w:shd w:val="clear" w:color="auto" w:fill="auto"/>
        <w:tabs>
          <w:tab w:val="right" w:leader="dot" w:pos="7487"/>
        </w:tabs>
        <w:spacing w:after="198" w:line="190" w:lineRule="exact"/>
        <w:ind w:left="20"/>
        <w:jc w:val="both"/>
        <w:rPr>
          <w:i w:val="0"/>
        </w:rPr>
      </w:pPr>
      <w:r w:rsidRPr="00B53076">
        <w:rPr>
          <w:i w:val="0"/>
        </w:rPr>
        <w:t>Diffusion interaction of impurities in aqueous medium</w:t>
      </w:r>
      <w:r w:rsidRPr="00B53076">
        <w:rPr>
          <w:rStyle w:val="TableofcontentsNotItalic"/>
        </w:rPr>
        <w:tab/>
        <w:t>163</w:t>
      </w:r>
    </w:p>
    <w:p w:rsidR="005575CB" w:rsidRPr="00B53076" w:rsidRDefault="005575CB" w:rsidP="005575CB">
      <w:pPr>
        <w:pStyle w:val="Tableofcontents20"/>
        <w:shd w:val="clear" w:color="auto" w:fill="auto"/>
        <w:spacing w:before="0" w:after="0" w:line="277" w:lineRule="exact"/>
        <w:ind w:left="20"/>
      </w:pPr>
      <w:proofErr w:type="spellStart"/>
      <w:r w:rsidRPr="00B53076">
        <w:t>Kubishov</w:t>
      </w:r>
      <w:proofErr w:type="spellEnd"/>
      <w:r w:rsidRPr="00B53076">
        <w:t xml:space="preserve"> I.N.</w:t>
      </w:r>
    </w:p>
    <w:p w:rsidR="005575CB" w:rsidRDefault="005575CB" w:rsidP="005575CB">
      <w:pPr>
        <w:pStyle w:val="Tableofcontents0"/>
        <w:shd w:val="clear" w:color="auto" w:fill="auto"/>
        <w:spacing w:after="0" w:line="277" w:lineRule="exact"/>
        <w:ind w:left="20"/>
        <w:jc w:val="both"/>
      </w:pPr>
      <w:r w:rsidRPr="00B53076">
        <w:rPr>
          <w:i w:val="0"/>
        </w:rPr>
        <w:t>Load carrying capability of circular cylindrical</w:t>
      </w:r>
      <w:r>
        <w:rPr>
          <w:i w:val="0"/>
        </w:rPr>
        <w:t xml:space="preserve"> </w:t>
      </w:r>
      <w:r w:rsidRPr="00B53076">
        <w:rPr>
          <w:i w:val="0"/>
        </w:rPr>
        <w:t>shell made of fibrous composite material</w:t>
      </w:r>
      <w:r w:rsidRPr="00B53076">
        <w:rPr>
          <w:rStyle w:val="TableofcontentsNotItalic"/>
        </w:rPr>
        <w:tab/>
        <w:t>169</w:t>
      </w:r>
      <w:r w:rsidRPr="00B53076">
        <w:rPr>
          <w:i w:val="0"/>
        </w:rPr>
        <w:fldChar w:fldCharType="end"/>
      </w:r>
    </w:p>
    <w:p w:rsidR="005575CB" w:rsidRDefault="005575CB">
      <w:pPr>
        <w:pStyle w:val="Heading20"/>
        <w:keepNext/>
        <w:keepLines/>
        <w:shd w:val="clear" w:color="auto" w:fill="auto"/>
        <w:spacing w:before="0" w:after="266" w:line="200" w:lineRule="exact"/>
        <w:ind w:left="20"/>
      </w:pPr>
    </w:p>
    <w:p w:rsidR="005575CB" w:rsidRDefault="005575CB">
      <w:pPr>
        <w:pStyle w:val="Heading20"/>
        <w:keepNext/>
        <w:keepLines/>
        <w:shd w:val="clear" w:color="auto" w:fill="auto"/>
        <w:spacing w:before="0" w:after="266" w:line="200" w:lineRule="exact"/>
        <w:ind w:left="20"/>
      </w:pPr>
    </w:p>
    <w:p w:rsidR="005575CB" w:rsidRDefault="005575CB">
      <w:pPr>
        <w:pStyle w:val="Heading20"/>
        <w:keepNext/>
        <w:keepLines/>
        <w:shd w:val="clear" w:color="auto" w:fill="auto"/>
        <w:spacing w:before="0" w:after="266" w:line="200" w:lineRule="exact"/>
        <w:ind w:left="20"/>
      </w:pPr>
    </w:p>
    <w:p w:rsidR="005575CB" w:rsidRDefault="005575CB">
      <w:pPr>
        <w:pStyle w:val="Heading20"/>
        <w:keepNext/>
        <w:keepLines/>
        <w:shd w:val="clear" w:color="auto" w:fill="auto"/>
        <w:spacing w:before="0" w:after="266" w:line="200" w:lineRule="exact"/>
        <w:ind w:left="20"/>
      </w:pPr>
    </w:p>
    <w:p w:rsidR="005575CB" w:rsidRDefault="005575CB">
      <w:pPr>
        <w:pStyle w:val="Heading20"/>
        <w:keepNext/>
        <w:keepLines/>
        <w:shd w:val="clear" w:color="auto" w:fill="auto"/>
        <w:spacing w:before="0" w:after="266" w:line="200" w:lineRule="exact"/>
        <w:ind w:left="20"/>
      </w:pPr>
    </w:p>
    <w:p w:rsidR="00F70336" w:rsidRPr="00B53076" w:rsidRDefault="00393696">
      <w:pPr>
        <w:pStyle w:val="Heading20"/>
        <w:keepNext/>
        <w:keepLines/>
        <w:shd w:val="clear" w:color="auto" w:fill="auto"/>
        <w:spacing w:before="0" w:after="266" w:line="200" w:lineRule="exact"/>
        <w:ind w:left="20"/>
      </w:pPr>
      <w:r w:rsidRPr="00B53076">
        <w:t>APPLIED PROBLEMS OF MATHEMATICS AND MECHANICS</w:t>
      </w:r>
      <w:bookmarkEnd w:id="2"/>
    </w:p>
    <w:p w:rsidR="00F70336" w:rsidRPr="00B53076" w:rsidRDefault="00393696">
      <w:pPr>
        <w:pStyle w:val="Bodytext20"/>
        <w:shd w:val="clear" w:color="auto" w:fill="auto"/>
        <w:spacing w:before="0" w:after="36" w:line="190" w:lineRule="exact"/>
        <w:ind w:left="20"/>
      </w:pPr>
      <w:proofErr w:type="spellStart"/>
      <w:r w:rsidRPr="00B53076">
        <w:t>Agayeva</w:t>
      </w:r>
      <w:proofErr w:type="spellEnd"/>
      <w:r w:rsidRPr="00B53076">
        <w:t xml:space="preserve"> G.R.</w:t>
      </w:r>
    </w:p>
    <w:p w:rsidR="00F70336" w:rsidRPr="00B53076" w:rsidRDefault="00393696">
      <w:pPr>
        <w:pStyle w:val="Tableofcontents0"/>
        <w:shd w:val="clear" w:color="auto" w:fill="auto"/>
        <w:tabs>
          <w:tab w:val="left" w:leader="dot" w:pos="7089"/>
        </w:tabs>
        <w:spacing w:after="205" w:line="190" w:lineRule="exact"/>
        <w:ind w:left="20"/>
        <w:jc w:val="both"/>
        <w:rPr>
          <w:i w:val="0"/>
        </w:rPr>
      </w:pPr>
      <w:r w:rsidRPr="00B53076">
        <w:rPr>
          <w:i w:val="0"/>
        </w:rPr>
        <w:fldChar w:fldCharType="begin"/>
      </w:r>
      <w:r w:rsidRPr="00B53076">
        <w:rPr>
          <w:i w:val="0"/>
        </w:rPr>
        <w:instrText xml:space="preserve"> TOC \o "1-5" \h \z </w:instrText>
      </w:r>
      <w:r w:rsidRPr="00B53076">
        <w:rPr>
          <w:i w:val="0"/>
        </w:rPr>
        <w:fldChar w:fldCharType="separate"/>
      </w:r>
      <w:r w:rsidRPr="00B53076">
        <w:rPr>
          <w:i w:val="0"/>
        </w:rPr>
        <w:t>Dynamic equation of joint deformation of bubble mixture</w:t>
      </w:r>
      <w:r w:rsidRPr="00B53076">
        <w:rPr>
          <w:rStyle w:val="TableofcontentsNotItalic"/>
        </w:rPr>
        <w:tab/>
        <w:t xml:space="preserve"> 173</w:t>
      </w:r>
    </w:p>
    <w:p w:rsidR="00F70336" w:rsidRPr="00B53076" w:rsidRDefault="00393696">
      <w:pPr>
        <w:pStyle w:val="Tableofcontents20"/>
        <w:shd w:val="clear" w:color="auto" w:fill="auto"/>
        <w:spacing w:before="0" w:after="0" w:line="274" w:lineRule="exact"/>
        <w:ind w:left="20"/>
      </w:pPr>
      <w:r w:rsidRPr="00B53076">
        <w:t>Effendiev B.R., Gasanov A.Kh.</w:t>
      </w:r>
    </w:p>
    <w:p w:rsidR="00F70336" w:rsidRPr="00B53076" w:rsidRDefault="00393696">
      <w:pPr>
        <w:pStyle w:val="Tableofcontents0"/>
        <w:shd w:val="clear" w:color="auto" w:fill="auto"/>
        <w:spacing w:after="0"/>
        <w:ind w:left="20"/>
        <w:jc w:val="both"/>
        <w:rPr>
          <w:i w:val="0"/>
        </w:rPr>
      </w:pPr>
      <w:r w:rsidRPr="00B53076">
        <w:rPr>
          <w:i w:val="0"/>
        </w:rPr>
        <w:t>To the question on determination of pressure fields in</w:t>
      </w:r>
    </w:p>
    <w:p w:rsidR="00F70336" w:rsidRPr="00B53076" w:rsidRDefault="00393696">
      <w:pPr>
        <w:pStyle w:val="Tableofcontents0"/>
        <w:shd w:val="clear" w:color="auto" w:fill="auto"/>
        <w:tabs>
          <w:tab w:val="right" w:leader="dot" w:pos="7533"/>
        </w:tabs>
        <w:spacing w:after="307"/>
        <w:ind w:left="20"/>
        <w:jc w:val="both"/>
        <w:rPr>
          <w:i w:val="0"/>
        </w:rPr>
      </w:pPr>
      <w:proofErr w:type="gramStart"/>
      <w:r w:rsidRPr="00B53076">
        <w:rPr>
          <w:i w:val="0"/>
        </w:rPr>
        <w:t>continuously-inhomogeneous</w:t>
      </w:r>
      <w:proofErr w:type="gramEnd"/>
      <w:r w:rsidRPr="00B53076">
        <w:rPr>
          <w:i w:val="0"/>
        </w:rPr>
        <w:t xml:space="preserve"> permeability formations</w:t>
      </w:r>
      <w:r w:rsidRPr="00B53076">
        <w:rPr>
          <w:rStyle w:val="TableofcontentsNotItalic"/>
        </w:rPr>
        <w:tab/>
        <w:t>177</w:t>
      </w:r>
    </w:p>
    <w:p w:rsidR="00F70336" w:rsidRPr="00B53076" w:rsidRDefault="00393696">
      <w:pPr>
        <w:pStyle w:val="Tableofcontents20"/>
        <w:shd w:val="clear" w:color="auto" w:fill="auto"/>
        <w:spacing w:before="0" w:after="36" w:line="190" w:lineRule="exact"/>
        <w:ind w:left="20"/>
      </w:pPr>
      <w:proofErr w:type="gramStart"/>
      <w:r w:rsidRPr="00B53076">
        <w:t>Kerimov Z.G., Mammad-zade E.O.</w:t>
      </w:r>
      <w:proofErr w:type="gramEnd"/>
    </w:p>
    <w:p w:rsidR="00F70336" w:rsidRPr="00B53076" w:rsidRDefault="00393696">
      <w:pPr>
        <w:pStyle w:val="Tableofcontents0"/>
        <w:shd w:val="clear" w:color="auto" w:fill="auto"/>
        <w:tabs>
          <w:tab w:val="left" w:leader="dot" w:pos="7089"/>
        </w:tabs>
        <w:spacing w:after="265" w:line="190" w:lineRule="exact"/>
        <w:ind w:left="20"/>
        <w:jc w:val="both"/>
        <w:rPr>
          <w:i w:val="0"/>
        </w:rPr>
      </w:pPr>
      <w:r w:rsidRPr="00B53076">
        <w:rPr>
          <w:i w:val="0"/>
        </w:rPr>
        <w:t>Optimization of double-acting chain drive</w:t>
      </w:r>
      <w:r w:rsidRPr="00B53076">
        <w:rPr>
          <w:rStyle w:val="TableofcontentsNotItalic"/>
        </w:rPr>
        <w:tab/>
        <w:t>181</w:t>
      </w:r>
    </w:p>
    <w:p w:rsidR="00F70336" w:rsidRPr="00B53076" w:rsidRDefault="00393696">
      <w:pPr>
        <w:pStyle w:val="Tableofcontents20"/>
        <w:shd w:val="clear" w:color="auto" w:fill="auto"/>
        <w:spacing w:before="0" w:after="39" w:line="190" w:lineRule="exact"/>
        <w:ind w:left="20"/>
      </w:pPr>
      <w:r w:rsidRPr="00B53076">
        <w:t>Hasratova M.H.</w:t>
      </w:r>
    </w:p>
    <w:p w:rsidR="00F70336" w:rsidRPr="00B53076" w:rsidRDefault="00393696">
      <w:pPr>
        <w:pStyle w:val="Tableofcontents0"/>
        <w:shd w:val="clear" w:color="auto" w:fill="auto"/>
        <w:tabs>
          <w:tab w:val="left" w:leader="dot" w:pos="7089"/>
        </w:tabs>
        <w:spacing w:after="0" w:line="190" w:lineRule="exact"/>
        <w:ind w:left="20"/>
        <w:jc w:val="both"/>
        <w:rPr>
          <w:i w:val="0"/>
        </w:rPr>
        <w:sectPr w:rsidR="00F70336" w:rsidRPr="00B53076">
          <w:headerReference w:type="even" r:id="rId7"/>
          <w:headerReference w:type="default" r:id="rId8"/>
          <w:type w:val="continuous"/>
          <w:pgSz w:w="11909" w:h="16838"/>
          <w:pgMar w:top="2281" w:right="1956" w:bottom="1994" w:left="1956" w:header="0" w:footer="3" w:gutter="266"/>
          <w:cols w:space="720"/>
          <w:noEndnote/>
          <w:titlePg/>
          <w:rtlGutter/>
          <w:docGrid w:linePitch="360"/>
        </w:sectPr>
      </w:pPr>
      <w:bookmarkStart w:id="3" w:name="_GoBack"/>
      <w:r w:rsidRPr="00B53076">
        <w:rPr>
          <w:i w:val="0"/>
        </w:rPr>
        <w:t>Modelling of moving particles on a closed contour without overtaking</w:t>
      </w:r>
      <w:bookmarkEnd w:id="3"/>
      <w:r w:rsidRPr="00B53076">
        <w:rPr>
          <w:rStyle w:val="TableofcontentsNotItalic"/>
        </w:rPr>
        <w:tab/>
        <w:t>189</w:t>
      </w:r>
      <w:r w:rsidRPr="00B53076">
        <w:rPr>
          <w:i w:val="0"/>
        </w:rPr>
        <w:fldChar w:fldCharType="end"/>
      </w:r>
    </w:p>
    <w:p w:rsidR="00F70336" w:rsidRPr="00B53076" w:rsidRDefault="00F70336">
      <w:pPr>
        <w:pStyle w:val="Tableofcontents0"/>
        <w:shd w:val="clear" w:color="auto" w:fill="auto"/>
        <w:tabs>
          <w:tab w:val="left" w:leader="dot" w:pos="7069"/>
        </w:tabs>
        <w:spacing w:after="0" w:line="277" w:lineRule="exact"/>
        <w:ind w:left="20"/>
        <w:jc w:val="both"/>
        <w:rPr>
          <w:i w:val="0"/>
        </w:rPr>
      </w:pPr>
    </w:p>
    <w:sectPr w:rsidR="00F70336" w:rsidRPr="00B53076">
      <w:type w:val="continuous"/>
      <w:pgSz w:w="11909" w:h="16838"/>
      <w:pgMar w:top="2875" w:right="2077" w:bottom="2238" w:left="2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4F" w:rsidRDefault="0052514F">
      <w:r>
        <w:separator/>
      </w:r>
    </w:p>
  </w:endnote>
  <w:endnote w:type="continuationSeparator" w:id="0">
    <w:p w:rsidR="0052514F" w:rsidRDefault="0052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4F" w:rsidRDefault="0052514F"/>
  </w:footnote>
  <w:footnote w:type="continuationSeparator" w:id="0">
    <w:p w:rsidR="0052514F" w:rsidRDefault="005251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36" w:rsidRDefault="00102FB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E3B283B" wp14:editId="6E8341A9">
              <wp:simplePos x="0" y="0"/>
              <wp:positionH relativeFrom="page">
                <wp:posOffset>1227455</wp:posOffset>
              </wp:positionH>
              <wp:positionV relativeFrom="page">
                <wp:posOffset>1254125</wp:posOffset>
              </wp:positionV>
              <wp:extent cx="4960620" cy="15684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06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336" w:rsidRDefault="00393696">
                          <w:pPr>
                            <w:pStyle w:val="Headerorfooter0"/>
                            <w:shd w:val="clear" w:color="auto" w:fill="auto"/>
                            <w:tabs>
                              <w:tab w:val="right" w:pos="6707"/>
                              <w:tab w:val="right" w:pos="6793"/>
                              <w:tab w:val="right" w:pos="785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Proceedings of IMM of NAS of Azerbaijan</w:t>
                          </w:r>
                          <w:r>
                            <w:rPr>
                              <w:rStyle w:val="HeaderorfooterNotItalic"/>
                            </w:rPr>
                            <w:tab/>
                          </w:r>
                          <w:r>
                            <w:rPr>
                              <w:rStyle w:val="HeaderorfooterNotItalic"/>
                            </w:rPr>
                            <w:tab/>
                          </w:r>
                          <w:r>
                            <w:rPr>
                              <w:rStyle w:val="HeaderorfooterNotItalic"/>
                            </w:rPr>
                            <w:tab/>
                          </w:r>
                          <w:r>
                            <w:rPr>
                              <w:rStyle w:val="HeaderorfooterBatangNotItalic"/>
                            </w:rPr>
                            <w:t>197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65pt;margin-top:98.75pt;width:390.6pt;height:12.3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Ddqg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" filled="f" stroked="f">
              <v:textbox style="mso-fit-shape-to-text:t" inset="0,0,0,0">
                <w:txbxContent>
                  <w:p w:rsidR="00F70336" w:rsidRDefault="00393696">
                    <w:pPr>
                      <w:pStyle w:val="Headerorfooter0"/>
                      <w:shd w:val="clear" w:color="auto" w:fill="auto"/>
                      <w:tabs>
                        <w:tab w:val="right" w:pos="6707"/>
                        <w:tab w:val="right" w:pos="6793"/>
                        <w:tab w:val="right" w:pos="7852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1"/>
                        <w:i/>
                        <w:iCs/>
                      </w:rPr>
                      <w:t>Proceedings of IMM of NAS of Azerbaijan</w:t>
                    </w:r>
                    <w:r>
                      <w:rPr>
                        <w:rStyle w:val="HeaderorfooterNotItalic"/>
                      </w:rPr>
                      <w:tab/>
                    </w:r>
                    <w:r>
                      <w:rPr>
                        <w:rStyle w:val="HeaderorfooterNotItalic"/>
                      </w:rPr>
                      <w:tab/>
                    </w:r>
                    <w:r>
                      <w:rPr>
                        <w:rStyle w:val="HeaderorfooterNotItalic"/>
                      </w:rPr>
                      <w:tab/>
                    </w:r>
                    <w:r>
                      <w:rPr>
                        <w:rStyle w:val="HeaderorfooterBatangNotItalic"/>
                      </w:rPr>
                      <w:t>197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36" w:rsidRDefault="00102FB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C7AF5B1" wp14:editId="54306689">
              <wp:simplePos x="0" y="0"/>
              <wp:positionH relativeFrom="page">
                <wp:posOffset>1297940</wp:posOffset>
              </wp:positionH>
              <wp:positionV relativeFrom="page">
                <wp:posOffset>1436370</wp:posOffset>
              </wp:positionV>
              <wp:extent cx="4896485" cy="152400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64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336" w:rsidRDefault="00393696">
                          <w:pPr>
                            <w:pStyle w:val="Headerorfooter0"/>
                            <w:shd w:val="clear" w:color="auto" w:fill="auto"/>
                            <w:tabs>
                              <w:tab w:val="right" w:pos="7711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Batang9ptNotItalic"/>
                            </w:rPr>
                            <w:t>196</w:t>
                          </w:r>
                          <w:r>
                            <w:rPr>
                              <w:rStyle w:val="HeaderorfooterBatang9ptNotItalic"/>
                            </w:rPr>
                            <w:tab/>
                          </w: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Proceedings of IMM of NAS of Azerbaijan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2.2pt;margin-top:113.1pt;width:385.55pt;height:1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pKrwIAALA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" filled="f" stroked="f">
              <v:textbox style="mso-fit-shape-to-text:t" inset="0,0,0,0">
                <w:txbxContent>
                  <w:p w:rsidR="00F70336" w:rsidRDefault="00393696">
                    <w:pPr>
                      <w:pStyle w:val="Headerorfooter0"/>
                      <w:shd w:val="clear" w:color="auto" w:fill="auto"/>
                      <w:tabs>
                        <w:tab w:val="right" w:pos="7711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Batang9ptNotItalic"/>
                      </w:rPr>
                      <w:t>196</w:t>
                    </w:r>
                    <w:r>
                      <w:rPr>
                        <w:rStyle w:val="HeaderorfooterBatang9ptNotItalic"/>
                      </w:rPr>
                      <w:tab/>
                    </w:r>
                    <w:r>
                      <w:rPr>
                        <w:rStyle w:val="Headerorfooter1"/>
                        <w:i/>
                        <w:iCs/>
                      </w:rPr>
                      <w:t>Proceedings of IMM of NAS of Azerbaijan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6"/>
    <w:rsid w:val="00102FB9"/>
    <w:rsid w:val="00393696"/>
    <w:rsid w:val="005235FF"/>
    <w:rsid w:val="0052514F"/>
    <w:rsid w:val="005575CB"/>
    <w:rsid w:val="00B53076"/>
    <w:rsid w:val="00F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">
    <w:name w:val="Heading #2_"/>
    <w:basedOn w:val="DefaultParagraphFont"/>
    <w:link w:val="Heading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ofcontentsNotItalic">
    <w:name w:val="Table of contents + Not Italic"/>
    <w:basedOn w:val="Tableofcontents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Tableofcontents2">
    <w:name w:val="Table of contents (2)_"/>
    <w:basedOn w:val="DefaultParagraphFont"/>
    <w:link w:val="Tableofcontents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Spacing1pt">
    <w:name w:val="Table of contents + Spacing 1 pt"/>
    <w:basedOn w:val="Tableofcontents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NotItalic">
    <w:name w:val="Body text + Not Italic"/>
    <w:basedOn w:val="Bodytex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erorfooterNotItalic">
    <w:name w:val="Header or footer + Not Italic"/>
    <w:basedOn w:val="Headerorfooter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HeaderorfooterBatangNotItalic">
    <w:name w:val="Header or footer + Batang;Not Italic"/>
    <w:basedOn w:val="Headerorfooter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erorfooterBatang9ptNotItalic">
    <w:name w:val="Header or footer + Batang;9 pt;Not Italic"/>
    <w:basedOn w:val="Headerorfooter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Tableofcontents3">
    <w:name w:val="Table of contents (3)_"/>
    <w:basedOn w:val="DefaultParagraphFont"/>
    <w:link w:val="Tableofcontents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60" w:line="0" w:lineRule="atLeast"/>
      <w:jc w:val="center"/>
      <w:outlineLvl w:val="0"/>
    </w:pPr>
    <w:rPr>
      <w:rFonts w:ascii="Century Schoolbook" w:eastAsia="Century Schoolbook" w:hAnsi="Century Schoolbook" w:cs="Century Schoolbook"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660" w:after="300" w:line="0" w:lineRule="atLeast"/>
      <w:jc w:val="both"/>
      <w:outlineLvl w:val="1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274" w:lineRule="exac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after="240" w:line="274" w:lineRule="exact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before="24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60" w:line="0" w:lineRule="atLeast"/>
      <w:jc w:val="center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Tableofcontents30">
    <w:name w:val="Table of contents (3)"/>
    <w:basedOn w:val="Normal"/>
    <w:link w:val="Tableofcontents3"/>
    <w:pPr>
      <w:shd w:val="clear" w:color="auto" w:fill="FFFFFF"/>
      <w:spacing w:before="480" w:line="27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">
    <w:name w:val="Heading #2_"/>
    <w:basedOn w:val="DefaultParagraphFont"/>
    <w:link w:val="Heading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ofcontentsNotItalic">
    <w:name w:val="Table of contents + Not Italic"/>
    <w:basedOn w:val="Tableofcontents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Tableofcontents2">
    <w:name w:val="Table of contents (2)_"/>
    <w:basedOn w:val="DefaultParagraphFont"/>
    <w:link w:val="Tableofcontents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Spacing1pt">
    <w:name w:val="Table of contents + Spacing 1 pt"/>
    <w:basedOn w:val="Tableofcontents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NotItalic">
    <w:name w:val="Body text + Not Italic"/>
    <w:basedOn w:val="Bodytex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erorfooterNotItalic">
    <w:name w:val="Header or footer + Not Italic"/>
    <w:basedOn w:val="Headerorfooter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HeaderorfooterBatangNotItalic">
    <w:name w:val="Header or footer + Batang;Not Italic"/>
    <w:basedOn w:val="Headerorfooter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erorfooterBatang9ptNotItalic">
    <w:name w:val="Header or footer + Batang;9 pt;Not Italic"/>
    <w:basedOn w:val="Headerorfooter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Tableofcontents3">
    <w:name w:val="Table of contents (3)_"/>
    <w:basedOn w:val="DefaultParagraphFont"/>
    <w:link w:val="Tableofcontents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60" w:line="0" w:lineRule="atLeast"/>
      <w:jc w:val="center"/>
      <w:outlineLvl w:val="0"/>
    </w:pPr>
    <w:rPr>
      <w:rFonts w:ascii="Century Schoolbook" w:eastAsia="Century Schoolbook" w:hAnsi="Century Schoolbook" w:cs="Century Schoolbook"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660" w:after="300" w:line="0" w:lineRule="atLeast"/>
      <w:jc w:val="both"/>
      <w:outlineLvl w:val="1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274" w:lineRule="exac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after="240" w:line="274" w:lineRule="exact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before="24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60" w:line="0" w:lineRule="atLeast"/>
      <w:jc w:val="center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Tableofcontents30">
    <w:name w:val="Table of contents (3)"/>
    <w:basedOn w:val="Normal"/>
    <w:link w:val="Tableofcontents3"/>
    <w:pPr>
      <w:shd w:val="clear" w:color="auto" w:fill="FFFFFF"/>
      <w:spacing w:before="480" w:line="27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Vusal</dc:creator>
  <cp:lastModifiedBy>Vusal</cp:lastModifiedBy>
  <cp:revision>4</cp:revision>
  <dcterms:created xsi:type="dcterms:W3CDTF">2012-12-28T06:55:00Z</dcterms:created>
  <dcterms:modified xsi:type="dcterms:W3CDTF">2013-01-08T07:08:00Z</dcterms:modified>
</cp:coreProperties>
</file>